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DEF6" w14:textId="2EA5066B" w:rsidR="00DC134B" w:rsidRDefault="00DC134B" w:rsidP="00DC134B">
      <w:proofErr w:type="spellStart"/>
      <w:r>
        <w:t>Cndcec</w:t>
      </w:r>
      <w:proofErr w:type="spellEnd"/>
      <w:r>
        <w:t>. Crisi d’impresa, regolamento elenco esperti</w:t>
      </w:r>
      <w:r w:rsidR="009D53F3">
        <w:t>. Formazione</w:t>
      </w:r>
      <w:r>
        <w:t xml:space="preserve"> </w:t>
      </w:r>
    </w:p>
    <w:p w14:paraId="2D2723EF" w14:textId="0A6D881F" w:rsidR="00EB18F4" w:rsidRDefault="006816D6" w:rsidP="00EB18F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t>È stato</w:t>
      </w:r>
      <w:r w:rsidR="00EB18F4">
        <w:t xml:space="preserve"> approvato</w:t>
      </w:r>
      <w:r>
        <w:t xml:space="preserve"> ed è in vigore</w:t>
      </w:r>
      <w:r w:rsidR="00EB18F4">
        <w:t xml:space="preserve"> il </w:t>
      </w:r>
      <w:r w:rsidR="00192BF3">
        <w:rPr>
          <w:b/>
          <w:bCs/>
        </w:rPr>
        <w:t>R</w:t>
      </w:r>
      <w:r w:rsidR="00EB18F4" w:rsidRPr="00192BF3">
        <w:rPr>
          <w:b/>
          <w:bCs/>
        </w:rPr>
        <w:t>egolamento</w:t>
      </w:r>
      <w:r w:rsidR="00EB18F4">
        <w:t xml:space="preserve"> </w:t>
      </w:r>
      <w:proofErr w:type="spellStart"/>
      <w:r>
        <w:t>Cndcec</w:t>
      </w:r>
      <w:proofErr w:type="spellEnd"/>
      <w:r>
        <w:t xml:space="preserve"> </w:t>
      </w:r>
      <w:r w:rsidR="00EB18F4" w:rsidRPr="00DC134B">
        <w:rPr>
          <w:rFonts w:ascii="Times New Roman" w:eastAsia="Times New Roman" w:hAnsi="Times New Roman" w:cs="Times New Roman"/>
          <w:lang w:eastAsia="it-IT"/>
        </w:rPr>
        <w:t>per la formazione dell’</w:t>
      </w:r>
      <w:r w:rsidR="00EB18F4" w:rsidRPr="00DC134B">
        <w:rPr>
          <w:rFonts w:ascii="Times New Roman" w:eastAsia="Times New Roman" w:hAnsi="Times New Roman" w:cs="Times New Roman"/>
          <w:b/>
          <w:bCs/>
          <w:lang w:eastAsia="it-IT"/>
        </w:rPr>
        <w:t xml:space="preserve">Elenco di esperti </w:t>
      </w:r>
      <w:r w:rsidR="00EB18F4" w:rsidRPr="00DC134B">
        <w:rPr>
          <w:rFonts w:ascii="Times New Roman" w:eastAsia="Times New Roman" w:hAnsi="Times New Roman" w:cs="Times New Roman"/>
          <w:lang w:eastAsia="it-IT"/>
        </w:rPr>
        <w:t xml:space="preserve">sulle misure urgenti in materia di </w:t>
      </w:r>
      <w:r w:rsidR="00EB18F4" w:rsidRPr="00DC134B">
        <w:rPr>
          <w:rFonts w:ascii="Times New Roman" w:eastAsia="Times New Roman" w:hAnsi="Times New Roman" w:cs="Times New Roman"/>
          <w:b/>
          <w:bCs/>
          <w:lang w:eastAsia="it-IT"/>
        </w:rPr>
        <w:t>crisi d’impresa</w:t>
      </w:r>
      <w:r w:rsidR="00EB18F4" w:rsidRPr="00DC134B">
        <w:rPr>
          <w:rFonts w:ascii="Times New Roman" w:eastAsia="Times New Roman" w:hAnsi="Times New Roman" w:cs="Times New Roman"/>
          <w:lang w:eastAsia="it-IT"/>
        </w:rPr>
        <w:t>, risanamento aziendale e giustizia</w:t>
      </w:r>
      <w:r w:rsidR="00192BF3">
        <w:rPr>
          <w:rFonts w:ascii="Times New Roman" w:eastAsia="Times New Roman" w:hAnsi="Times New Roman" w:cs="Times New Roman"/>
          <w:lang w:eastAsia="it-IT"/>
        </w:rPr>
        <w:t xml:space="preserve"> (</w:t>
      </w:r>
      <w:r w:rsidR="006F6E5B">
        <w:rPr>
          <w:rFonts w:ascii="Times New Roman" w:eastAsia="Times New Roman" w:hAnsi="Times New Roman" w:cs="Times New Roman"/>
          <w:lang w:eastAsia="it-IT"/>
        </w:rPr>
        <w:t xml:space="preserve">legge sulla crisi d’impresa </w:t>
      </w:r>
      <w:r w:rsidR="00192BF3">
        <w:rPr>
          <w:rFonts w:ascii="Times New Roman" w:eastAsia="Times New Roman" w:hAnsi="Times New Roman" w:cs="Times New Roman"/>
          <w:lang w:eastAsia="it-IT"/>
        </w:rPr>
        <w:t xml:space="preserve">- n. 147 del </w:t>
      </w:r>
      <w:r w:rsidR="006F6E5B" w:rsidRPr="00DC134B">
        <w:rPr>
          <w:rFonts w:ascii="Times New Roman" w:eastAsia="Times New Roman" w:hAnsi="Times New Roman" w:cs="Times New Roman"/>
          <w:lang w:eastAsia="it-IT"/>
        </w:rPr>
        <w:t>21 ottobre 2021</w:t>
      </w:r>
      <w:r w:rsidR="006F6E5B">
        <w:rPr>
          <w:rFonts w:ascii="Times New Roman" w:eastAsia="Times New Roman" w:hAnsi="Times New Roman" w:cs="Times New Roman"/>
          <w:lang w:eastAsia="it-IT"/>
        </w:rPr>
        <w:t>).</w:t>
      </w:r>
    </w:p>
    <w:p w14:paraId="79A73729" w14:textId="7B362BE8" w:rsidR="009542F5" w:rsidRDefault="00B42BBA" w:rsidP="009542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7406">
        <w:rPr>
          <w:rFonts w:ascii="Times New Roman" w:eastAsia="Times New Roman" w:hAnsi="Times New Roman" w:cs="Times New Roman"/>
          <w:lang w:eastAsia="it-IT"/>
        </w:rPr>
        <w:t xml:space="preserve">Presso le </w:t>
      </w:r>
      <w:r w:rsidR="006933F2" w:rsidRPr="00044713">
        <w:rPr>
          <w:rFonts w:ascii="Times New Roman" w:eastAsia="Times New Roman" w:hAnsi="Times New Roman" w:cs="Times New Roman"/>
          <w:lang w:eastAsia="it-IT"/>
        </w:rPr>
        <w:t>CCIAA</w:t>
      </w:r>
      <w:r w:rsidR="006933F2" w:rsidRPr="00D07406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07406">
        <w:rPr>
          <w:rFonts w:ascii="Times New Roman" w:eastAsia="Times New Roman" w:hAnsi="Times New Roman" w:cs="Times New Roman"/>
          <w:lang w:eastAsia="it-IT"/>
        </w:rPr>
        <w:t>dei capoluoghi di regione e delle province autonome di Trento e di Bolzano è costituita la commissione che nomina l’esperto nel campo della ristrutturazione tra gli iscritti nell’elenco</w:t>
      </w:r>
      <w:r w:rsidR="006933F2">
        <w:rPr>
          <w:rFonts w:ascii="Times New Roman" w:eastAsia="Times New Roman" w:hAnsi="Times New Roman" w:cs="Times New Roman"/>
          <w:lang w:eastAsia="it-IT"/>
        </w:rPr>
        <w:t>,</w:t>
      </w:r>
      <w:r w:rsidRPr="00D07406">
        <w:rPr>
          <w:rFonts w:ascii="Times New Roman" w:eastAsia="Times New Roman" w:hAnsi="Times New Roman" w:cs="Times New Roman"/>
          <w:lang w:eastAsia="it-IT"/>
        </w:rPr>
        <w:t xml:space="preserve"> secondo criteri che assicurano la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rotazione</w:t>
      </w:r>
      <w:r w:rsidRPr="00D07406">
        <w:rPr>
          <w:rFonts w:ascii="Times New Roman" w:eastAsia="Times New Roman" w:hAnsi="Times New Roman" w:cs="Times New Roman"/>
          <w:lang w:eastAsia="it-IT"/>
        </w:rPr>
        <w:t xml:space="preserve"> e la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trasparenza</w:t>
      </w:r>
      <w:r w:rsidRPr="00D07406">
        <w:rPr>
          <w:rFonts w:ascii="Times New Roman" w:eastAsia="Times New Roman" w:hAnsi="Times New Roman" w:cs="Times New Roman"/>
          <w:lang w:eastAsia="it-IT"/>
        </w:rPr>
        <w:t xml:space="preserve"> e avendo cura che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ciascun esperto non riceva più di due incarichi contemporaneamente</w:t>
      </w:r>
      <w:r w:rsidRPr="00D07406">
        <w:rPr>
          <w:rFonts w:ascii="Times New Roman" w:eastAsia="Times New Roman" w:hAnsi="Times New Roman" w:cs="Times New Roman"/>
          <w:lang w:eastAsia="it-IT"/>
        </w:rPr>
        <w:t>. La nomina può avvenire anche al di fuori dell’ambito regionale.</w:t>
      </w:r>
    </w:p>
    <w:p w14:paraId="3AD2FFFF" w14:textId="1ADF0A9F" w:rsidR="00044713" w:rsidRDefault="00044713" w:rsidP="009542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Nel documento è chiarito che:</w:t>
      </w:r>
    </w:p>
    <w:p w14:paraId="4BB3AD68" w14:textId="77777777" w:rsidR="00044713" w:rsidRPr="00044713" w:rsidRDefault="00044713" w:rsidP="00044713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lang w:eastAsia="it-IT"/>
        </w:rPr>
      </w:pPr>
      <w:r w:rsidRPr="00044713">
        <w:rPr>
          <w:rFonts w:ascii="Times New Roman" w:eastAsia="Times New Roman" w:hAnsi="Times New Roman" w:cs="Times New Roman"/>
          <w:lang w:eastAsia="it-IT"/>
        </w:rPr>
        <w:t>ai fini del primo popolamento dell’elenco, l’aggiornamento dei dati comunicati dagli Ordini territoriali alla CCIAA è continuo fino al 16 maggio 2022;</w:t>
      </w:r>
    </w:p>
    <w:p w14:paraId="47104B78" w14:textId="77777777" w:rsidR="00044713" w:rsidRPr="00044713" w:rsidRDefault="00044713" w:rsidP="00044713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lang w:eastAsia="it-IT"/>
        </w:rPr>
      </w:pPr>
      <w:r w:rsidRPr="00044713">
        <w:rPr>
          <w:rFonts w:ascii="Times New Roman" w:eastAsia="Times New Roman" w:hAnsi="Times New Roman" w:cs="Times New Roman"/>
          <w:lang w:eastAsia="it-IT"/>
        </w:rPr>
        <w:t>a partire dal 17 maggio 2022 l’aggiornamento dei dati comunicati dagli Ordini territoriali alla CCIAA avviene con cadenza annuale.</w:t>
      </w:r>
    </w:p>
    <w:p w14:paraId="12CE83D9" w14:textId="76068B09" w:rsidR="00192BF3" w:rsidRDefault="00192BF3" w:rsidP="00EB18F4">
      <w:pPr>
        <w:spacing w:before="100" w:beforeAutospacing="1" w:after="100" w:afterAutospacing="1"/>
      </w:pPr>
      <w:r>
        <w:rPr>
          <w:rFonts w:ascii="Times New Roman" w:eastAsia="Times New Roman" w:hAnsi="Times New Roman" w:cs="Times New Roman"/>
          <w:lang w:eastAsia="it-IT"/>
        </w:rPr>
        <w:t xml:space="preserve">A dare l’annuncio </w:t>
      </w:r>
      <w:r w:rsidR="006933F2">
        <w:rPr>
          <w:rFonts w:ascii="Times New Roman" w:eastAsia="Times New Roman" w:hAnsi="Times New Roman" w:cs="Times New Roman"/>
          <w:lang w:eastAsia="it-IT"/>
        </w:rPr>
        <w:t xml:space="preserve">dell’approvazione </w:t>
      </w:r>
      <w:r>
        <w:rPr>
          <w:rFonts w:ascii="Times New Roman" w:eastAsia="Times New Roman" w:hAnsi="Times New Roman" w:cs="Times New Roman"/>
          <w:lang w:eastAsia="it-IT"/>
        </w:rPr>
        <w:t>agli ordini territoriali l’</w:t>
      </w:r>
      <w:r w:rsidRPr="00192BF3">
        <w:rPr>
          <w:rFonts w:ascii="Times New Roman" w:eastAsia="Times New Roman" w:hAnsi="Times New Roman" w:cs="Times New Roman"/>
          <w:b/>
          <w:bCs/>
          <w:lang w:eastAsia="it-IT"/>
        </w:rPr>
        <w:t xml:space="preserve">informativa </w:t>
      </w:r>
      <w:proofErr w:type="spellStart"/>
      <w:r w:rsidRPr="00192BF3">
        <w:rPr>
          <w:rFonts w:ascii="Times New Roman" w:eastAsia="Times New Roman" w:hAnsi="Times New Roman" w:cs="Times New Roman"/>
          <w:b/>
          <w:bCs/>
          <w:lang w:eastAsia="it-IT"/>
        </w:rPr>
        <w:t>Cndcec</w:t>
      </w:r>
      <w:proofErr w:type="spellEnd"/>
      <w:r w:rsidRPr="00192BF3">
        <w:rPr>
          <w:rFonts w:ascii="Times New Roman" w:eastAsia="Times New Roman" w:hAnsi="Times New Roman" w:cs="Times New Roman"/>
          <w:b/>
          <w:bCs/>
          <w:lang w:eastAsia="it-IT"/>
        </w:rPr>
        <w:t xml:space="preserve"> 102 dell’8 novembre 2021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14:paraId="69F6F542" w14:textId="6AAE0F9C" w:rsidR="00EB18F4" w:rsidRDefault="006F6E5B" w:rsidP="00EB18F4">
      <w:pPr>
        <w:spacing w:before="100" w:beforeAutospacing="1" w:after="100" w:afterAutospacing="1"/>
      </w:pPr>
      <w:r>
        <w:t xml:space="preserve">Dunque, </w:t>
      </w:r>
      <w:r w:rsidR="006816D6">
        <w:t>sono</w:t>
      </w:r>
      <w:r>
        <w:t xml:space="preserve"> fissate</w:t>
      </w:r>
      <w:r w:rsidR="00EB18F4">
        <w:t xml:space="preserve"> </w:t>
      </w:r>
      <w:r w:rsidR="00DC134B" w:rsidRPr="00192BF3">
        <w:rPr>
          <w:b/>
          <w:bCs/>
        </w:rPr>
        <w:t>modalità di formazione, tenuta e aggiornamento dei dati raccolti dagli Ordini locali e comunicati alle Camere di commercio, industria, artigianato e agricoltura</w:t>
      </w:r>
      <w:r w:rsidR="00EB18F4" w:rsidRPr="00192BF3">
        <w:rPr>
          <w:b/>
          <w:bCs/>
        </w:rPr>
        <w:t>.</w:t>
      </w:r>
    </w:p>
    <w:p w14:paraId="663A5080" w14:textId="4433928A" w:rsidR="000A55FD" w:rsidRDefault="000A55FD" w:rsidP="000A55F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regolamento disciplina:</w:t>
      </w:r>
    </w:p>
    <w:p w14:paraId="5C6BA26D" w14:textId="77777777" w:rsidR="000A55FD" w:rsidRPr="009542F5" w:rsidRDefault="000A55FD" w:rsidP="009542F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le </w:t>
      </w:r>
      <w:r w:rsidRPr="009542F5">
        <w:rPr>
          <w:rFonts w:ascii="Times New Roman" w:eastAsia="Times New Roman" w:hAnsi="Times New Roman" w:cs="Times New Roman"/>
          <w:b/>
          <w:bCs/>
          <w:lang w:eastAsia="it-IT"/>
        </w:rPr>
        <w:t>modalità di raccolta e verifica della documentazione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necessaria per la richiesta di iscrizione all’elenco degli Esperti da parte degli Ordini territoriali; </w:t>
      </w:r>
    </w:p>
    <w:p w14:paraId="322C3890" w14:textId="77777777" w:rsidR="000A55FD" w:rsidRPr="009542F5" w:rsidRDefault="000A55FD" w:rsidP="009542F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le </w:t>
      </w:r>
      <w:r w:rsidRPr="009542F5">
        <w:rPr>
          <w:rFonts w:ascii="Times New Roman" w:eastAsia="Times New Roman" w:hAnsi="Times New Roman" w:cs="Times New Roman"/>
          <w:b/>
          <w:bCs/>
          <w:lang w:eastAsia="it-IT"/>
        </w:rPr>
        <w:t>caratteristiche dell’obbligo formativo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necessario per l’iscrizione all’elenco degli esperti;</w:t>
      </w:r>
    </w:p>
    <w:p w14:paraId="105059A1" w14:textId="77777777" w:rsidR="000A55FD" w:rsidRPr="009542F5" w:rsidRDefault="000A55FD" w:rsidP="009542F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b/>
          <w:bCs/>
          <w:lang w:eastAsia="it-IT"/>
        </w:rPr>
        <w:t>l’attività istruttoria ed i controlli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che gli Ordini territoriali dovranno effettuare al fine di accogliere/respingere la domanda di iscrizione dei professionisti interessati;</w:t>
      </w:r>
    </w:p>
    <w:p w14:paraId="75B82885" w14:textId="77777777" w:rsidR="000A55FD" w:rsidRPr="009542F5" w:rsidRDefault="000A55FD" w:rsidP="009542F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le </w:t>
      </w:r>
      <w:r w:rsidRPr="009542F5">
        <w:rPr>
          <w:rFonts w:ascii="Times New Roman" w:eastAsia="Times New Roman" w:hAnsi="Times New Roman" w:cs="Times New Roman"/>
          <w:b/>
          <w:bCs/>
          <w:lang w:eastAsia="it-IT"/>
        </w:rPr>
        <w:t>modalità di aggiornamento dei dati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relativi alla formazione dell’Elenco; </w:t>
      </w:r>
    </w:p>
    <w:p w14:paraId="5818507A" w14:textId="59A43FAD" w:rsidR="000A55FD" w:rsidRPr="009542F5" w:rsidRDefault="000A55FD" w:rsidP="009542F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le </w:t>
      </w:r>
      <w:r w:rsidRPr="009542F5">
        <w:rPr>
          <w:rFonts w:ascii="Times New Roman" w:eastAsia="Times New Roman" w:hAnsi="Times New Roman" w:cs="Times New Roman"/>
          <w:b/>
          <w:bCs/>
          <w:lang w:eastAsia="it-IT"/>
        </w:rPr>
        <w:t>procedure per l’organizzazione e l’accreditamento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dei corsi valevoli per l’obbligo formativo richiesto dall’art. 3, decreto legge 24 agosto 2021, n. 118.</w:t>
      </w:r>
    </w:p>
    <w:p w14:paraId="491CA94C" w14:textId="157B7780" w:rsidR="00D07406" w:rsidRDefault="009542F5" w:rsidP="00D074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H2 </w:t>
      </w:r>
      <w:r w:rsidR="00D07406">
        <w:rPr>
          <w:rFonts w:ascii="Times New Roman" w:eastAsia="Times New Roman" w:hAnsi="Times New Roman" w:cs="Times New Roman"/>
          <w:lang w:eastAsia="it-IT"/>
        </w:rPr>
        <w:t>Chi può chiedere di essere inserito nell’Elenco</w:t>
      </w:r>
    </w:p>
    <w:p w14:paraId="493F7A6A" w14:textId="77777777" w:rsidR="00D07406" w:rsidRDefault="00D07406" w:rsidP="00D074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7406">
        <w:rPr>
          <w:rFonts w:ascii="Times New Roman" w:eastAsia="Times New Roman" w:hAnsi="Times New Roman" w:cs="Times New Roman"/>
          <w:lang w:eastAsia="it-IT"/>
        </w:rPr>
        <w:t>Possono essere inseriti nell’elenco esperti indipendenti ex art. 3 D.L. 24 agosto 2021, n. 118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p w14:paraId="1FA00F64" w14:textId="771F5E2B" w:rsidR="00D07406" w:rsidRPr="009542F5" w:rsidRDefault="00D07406" w:rsidP="009542F5">
      <w:pPr>
        <w:pStyle w:val="Paragrafoelenco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gli iscritti da almeno </w:t>
      </w:r>
      <w:r w:rsidR="009542F5">
        <w:rPr>
          <w:rFonts w:ascii="Times New Roman" w:eastAsia="Times New Roman" w:hAnsi="Times New Roman" w:cs="Times New Roman"/>
          <w:lang w:eastAsia="it-IT"/>
        </w:rPr>
        <w:t>5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anni all’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albo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dei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dottori commercialisti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e degli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esperti contabili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e all’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albo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degli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avvocati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che documentano di aver maturato precedenti esperienze nel campo della ristrutturazione aziendale e della crisi d’impresa;</w:t>
      </w:r>
    </w:p>
    <w:p w14:paraId="403C21D4" w14:textId="27091FD1" w:rsidR="00D07406" w:rsidRPr="009542F5" w:rsidRDefault="00D07406" w:rsidP="009542F5">
      <w:pPr>
        <w:pStyle w:val="Paragrafoelenco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gli iscritti da almeno </w:t>
      </w:r>
      <w:r w:rsidR="009542F5">
        <w:rPr>
          <w:rFonts w:ascii="Times New Roman" w:eastAsia="Times New Roman" w:hAnsi="Times New Roman" w:cs="Times New Roman"/>
          <w:lang w:eastAsia="it-IT"/>
        </w:rPr>
        <w:t>5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anni</w:t>
      </w:r>
      <w:r w:rsidR="009542F5" w:rsidRP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542F5">
        <w:rPr>
          <w:rFonts w:ascii="Times New Roman" w:eastAsia="Times New Roman" w:hAnsi="Times New Roman" w:cs="Times New Roman"/>
          <w:lang w:eastAsia="it-IT"/>
        </w:rPr>
        <w:t>all’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albo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dei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>consulenti del lavoro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che documentano di avere concorso, almeno in tre casi, alla conclusione di </w:t>
      </w:r>
      <w:r w:rsidR="009542F5" w:rsidRPr="009542F5">
        <w:rPr>
          <w:rFonts w:ascii="Times New Roman" w:eastAsia="Times New Roman" w:hAnsi="Times New Roman" w:cs="Times New Roman"/>
          <w:lang w:eastAsia="it-IT"/>
        </w:rPr>
        <w:t>accordi di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="009542F5" w:rsidRPr="009542F5">
        <w:rPr>
          <w:rFonts w:ascii="Times New Roman" w:eastAsia="Times New Roman" w:hAnsi="Times New Roman" w:cs="Times New Roman"/>
          <w:lang w:eastAsia="it-IT"/>
        </w:rPr>
        <w:t>ristrutturazione dei debiti omologati o di accordi sottostanti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a piani attestati </w:t>
      </w:r>
      <w:r w:rsidR="009542F5" w:rsidRPr="009542F5">
        <w:rPr>
          <w:rFonts w:ascii="Times New Roman" w:eastAsia="Times New Roman" w:hAnsi="Times New Roman" w:cs="Times New Roman"/>
          <w:lang w:eastAsia="it-IT"/>
        </w:rPr>
        <w:t>o di avere concorso alla presentazione di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concordati con continuità aziendale omologati;</w:t>
      </w:r>
    </w:p>
    <w:p w14:paraId="50AAD7DB" w14:textId="739CFE7C" w:rsidR="00D07406" w:rsidRPr="009542F5" w:rsidRDefault="00D07406" w:rsidP="009542F5">
      <w:pPr>
        <w:pStyle w:val="Paragrafoelenco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542F5">
        <w:rPr>
          <w:rFonts w:ascii="Times New Roman" w:eastAsia="Times New Roman" w:hAnsi="Times New Roman" w:cs="Times New Roman"/>
          <w:lang w:eastAsia="it-IT"/>
        </w:rPr>
        <w:t xml:space="preserve">coloro che, pur </w:t>
      </w:r>
      <w:r w:rsidRPr="00C873D7">
        <w:rPr>
          <w:rFonts w:ascii="Times New Roman" w:eastAsia="Times New Roman" w:hAnsi="Times New Roman" w:cs="Times New Roman"/>
          <w:b/>
          <w:bCs/>
          <w:lang w:eastAsia="it-IT"/>
        </w:rPr>
        <w:t xml:space="preserve">non iscritti in albi </w:t>
      </w:r>
      <w:r w:rsidR="009542F5" w:rsidRPr="00C873D7">
        <w:rPr>
          <w:rFonts w:ascii="Times New Roman" w:eastAsia="Times New Roman" w:hAnsi="Times New Roman" w:cs="Times New Roman"/>
          <w:b/>
          <w:bCs/>
          <w:lang w:eastAsia="it-IT"/>
        </w:rPr>
        <w:t>professionali</w:t>
      </w:r>
      <w:r w:rsidR="009542F5" w:rsidRPr="009542F5">
        <w:rPr>
          <w:rFonts w:ascii="Times New Roman" w:eastAsia="Times New Roman" w:hAnsi="Times New Roman" w:cs="Times New Roman"/>
          <w:lang w:eastAsia="it-IT"/>
        </w:rPr>
        <w:t>, documentano di avere svolto funzioni di amministrazione, direzione e controllo in imprese interessate da</w:t>
      </w:r>
      <w:r w:rsidRPr="009542F5">
        <w:rPr>
          <w:rFonts w:ascii="Times New Roman" w:eastAsia="Times New Roman" w:hAnsi="Times New Roman" w:cs="Times New Roman"/>
          <w:lang w:eastAsia="it-IT"/>
        </w:rPr>
        <w:t xml:space="preserve"> operazioni di </w:t>
      </w:r>
      <w:r w:rsidRPr="009542F5">
        <w:rPr>
          <w:rFonts w:ascii="Times New Roman" w:eastAsia="Times New Roman" w:hAnsi="Times New Roman" w:cs="Times New Roman"/>
          <w:lang w:eastAsia="it-IT"/>
        </w:rPr>
        <w:lastRenderedPageBreak/>
        <w:t xml:space="preserve">ristrutturazione concluse con piani di risanamento attestati, accordi di ristrutturazione dei debiti e concordati preventivi con continuità aziendale omologati, nei confronti delle quali non sia stata successivamente pronunciata sentenza dichiarativa di fallimento o sentenza di accertamento dello stato di insolvenza. </w:t>
      </w:r>
    </w:p>
    <w:p w14:paraId="6AF750E9" w14:textId="5A639F51" w:rsidR="00D07406" w:rsidRDefault="009542F5" w:rsidP="00D074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H2 </w:t>
      </w:r>
      <w:r w:rsidR="00E50BA4">
        <w:rPr>
          <w:rFonts w:ascii="Times New Roman" w:eastAsia="Times New Roman" w:hAnsi="Times New Roman" w:cs="Times New Roman"/>
          <w:lang w:eastAsia="it-IT"/>
        </w:rPr>
        <w:t>La</w:t>
      </w:r>
      <w:r w:rsidR="00D07406">
        <w:rPr>
          <w:rFonts w:ascii="Times New Roman" w:eastAsia="Times New Roman" w:hAnsi="Times New Roman" w:cs="Times New Roman"/>
          <w:lang w:eastAsia="it-IT"/>
        </w:rPr>
        <w:t xml:space="preserve"> formazione che </w:t>
      </w:r>
      <w:r w:rsidR="00E50BA4">
        <w:rPr>
          <w:rFonts w:ascii="Times New Roman" w:eastAsia="Times New Roman" w:hAnsi="Times New Roman" w:cs="Times New Roman"/>
          <w:lang w:eastAsia="it-IT"/>
        </w:rPr>
        <w:t>d</w:t>
      </w:r>
      <w:r w:rsidR="009D3FB3">
        <w:rPr>
          <w:rFonts w:ascii="Times New Roman" w:eastAsia="Times New Roman" w:hAnsi="Times New Roman" w:cs="Times New Roman"/>
          <w:lang w:eastAsia="it-IT"/>
        </w:rPr>
        <w:t>à</w:t>
      </w:r>
      <w:r w:rsidR="00D07406">
        <w:rPr>
          <w:rFonts w:ascii="Times New Roman" w:eastAsia="Times New Roman" w:hAnsi="Times New Roman" w:cs="Times New Roman"/>
          <w:lang w:eastAsia="it-IT"/>
        </w:rPr>
        <w:t xml:space="preserve"> diritto all’iscrizione </w:t>
      </w:r>
    </w:p>
    <w:p w14:paraId="082CA631" w14:textId="77777777" w:rsidR="00E50BA4" w:rsidRDefault="00D07406" w:rsidP="00E50B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7406">
        <w:rPr>
          <w:rFonts w:ascii="Times New Roman" w:eastAsia="Times New Roman" w:hAnsi="Times New Roman" w:cs="Times New Roman"/>
          <w:lang w:eastAsia="it-IT"/>
        </w:rPr>
        <w:t xml:space="preserve">L’iscrizione all’elenco è subordinata </w:t>
      </w:r>
      <w:r>
        <w:rPr>
          <w:rFonts w:ascii="Times New Roman" w:eastAsia="Times New Roman" w:hAnsi="Times New Roman" w:cs="Times New Roman"/>
          <w:lang w:eastAsia="it-IT"/>
        </w:rPr>
        <w:t xml:space="preserve">anche </w:t>
      </w:r>
      <w:r w:rsidRPr="00D07406">
        <w:rPr>
          <w:rFonts w:ascii="Times New Roman" w:eastAsia="Times New Roman" w:hAnsi="Times New Roman" w:cs="Times New Roman"/>
          <w:lang w:eastAsia="it-IT"/>
        </w:rPr>
        <w:t>al possesso di una specifica formazione</w:t>
      </w:r>
      <w:r>
        <w:rPr>
          <w:rFonts w:ascii="Times New Roman" w:eastAsia="Times New Roman" w:hAnsi="Times New Roman" w:cs="Times New Roman"/>
          <w:lang w:eastAsia="it-IT"/>
        </w:rPr>
        <w:t>,</w:t>
      </w:r>
      <w:r w:rsidRPr="00D07406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ED253D">
        <w:rPr>
          <w:rFonts w:ascii="Times New Roman" w:eastAsia="Times New Roman" w:hAnsi="Times New Roman" w:cs="Times New Roman"/>
          <w:b/>
          <w:bCs/>
          <w:lang w:eastAsia="it-IT"/>
        </w:rPr>
        <w:t>almeno 55 ore</w:t>
      </w:r>
      <w:r>
        <w:rPr>
          <w:rFonts w:ascii="Times New Roman" w:eastAsia="Times New Roman" w:hAnsi="Times New Roman" w:cs="Times New Roman"/>
          <w:lang w:eastAsia="it-IT"/>
        </w:rPr>
        <w:t>,</w:t>
      </w:r>
      <w:r w:rsidRPr="00D07406">
        <w:rPr>
          <w:rFonts w:ascii="Times New Roman" w:eastAsia="Times New Roman" w:hAnsi="Times New Roman" w:cs="Times New Roman"/>
          <w:lang w:eastAsia="it-IT"/>
        </w:rPr>
        <w:t xml:space="preserve"> prevista con il decreto dirigenziale del Ministero della Giustizia del 28 settembre 2021.</w:t>
      </w:r>
    </w:p>
    <w:p w14:paraId="2241A484" w14:textId="079C09B2" w:rsidR="00E50BA4" w:rsidRPr="00E50BA4" w:rsidRDefault="00E50BA4" w:rsidP="00E50BA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La formazione è </w:t>
      </w:r>
      <w:r w:rsidRPr="00E50BA4">
        <w:rPr>
          <w:rFonts w:ascii="Times New Roman" w:eastAsia="Times New Roman" w:hAnsi="Times New Roman" w:cs="Times New Roman"/>
          <w:lang w:eastAsia="it-IT"/>
        </w:rPr>
        <w:t xml:space="preserve">necessariamente </w:t>
      </w:r>
      <w:r>
        <w:rPr>
          <w:rFonts w:ascii="Times New Roman" w:eastAsia="Times New Roman" w:hAnsi="Times New Roman" w:cs="Times New Roman"/>
          <w:lang w:eastAsia="it-IT"/>
        </w:rPr>
        <w:t xml:space="preserve">così </w:t>
      </w:r>
      <w:r w:rsidRPr="00E50BA4">
        <w:rPr>
          <w:rFonts w:ascii="Times New Roman" w:eastAsia="Times New Roman" w:hAnsi="Times New Roman" w:cs="Times New Roman"/>
          <w:lang w:eastAsia="it-IT"/>
        </w:rPr>
        <w:t>articolat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E50BA4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7532EAEC" w14:textId="5CA00921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Il contesto dell’intervento normativo: presupposti, finalità, obiettivi - Ore 4;</w:t>
      </w:r>
    </w:p>
    <w:p w14:paraId="1F51FFEF" w14:textId="2EFFA4EF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Il sistema delle norme, con particolare riferimento a quelle relative all’intervento giudiziale - Ore 4;</w:t>
      </w:r>
    </w:p>
    <w:p w14:paraId="45F23696" w14:textId="07E40384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La domanda e la relativa documentazione disponibile nella piattaforma - Ore 3;</w:t>
      </w:r>
    </w:p>
    <w:p w14:paraId="733C7B8A" w14:textId="51678E02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La sostenibilità del debito ed il test pratico per la verifica della ragionevole percorribilità del risanamento - Ore 5;</w:t>
      </w:r>
    </w:p>
    <w:p w14:paraId="151E3EE7" w14:textId="2B416C49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La redazione di un piano di risanamento - Ore 5;</w:t>
      </w:r>
    </w:p>
    <w:p w14:paraId="00B9D532" w14:textId="331953B1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Il protocollo di conduzione della composizione negoziata - Ore 7;</w:t>
      </w:r>
    </w:p>
    <w:p w14:paraId="65D58C5A" w14:textId="3F55EB14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La gestione delle trattative con le parti interessate. Facilitazione della comunicazione e della composizione consensuale: il ruolo dell’esperto e le competenze - Ore 10 totali (Ore 2: Fase della preparazione</w:t>
      </w:r>
      <w:r w:rsidR="00973795" w:rsidRPr="00973795">
        <w:rPr>
          <w:rFonts w:ascii="Times New Roman" w:eastAsia="Times New Roman" w:hAnsi="Times New Roman" w:cs="Times New Roman"/>
          <w:lang w:eastAsia="it-IT"/>
        </w:rPr>
        <w:t>;</w:t>
      </w:r>
      <w:r w:rsidRPr="00973795">
        <w:rPr>
          <w:rFonts w:ascii="Times New Roman" w:eastAsia="Times New Roman" w:hAnsi="Times New Roman" w:cs="Times New Roman"/>
          <w:lang w:eastAsia="it-IT"/>
        </w:rPr>
        <w:t xml:space="preserve"> Ore 3: Gestione delle trattative I parte</w:t>
      </w:r>
      <w:r w:rsidR="00973795" w:rsidRPr="00973795">
        <w:rPr>
          <w:rFonts w:ascii="Times New Roman" w:eastAsia="Times New Roman" w:hAnsi="Times New Roman" w:cs="Times New Roman"/>
          <w:lang w:eastAsia="it-IT"/>
        </w:rPr>
        <w:t>;</w:t>
      </w:r>
      <w:r w:rsidRPr="00973795">
        <w:rPr>
          <w:rFonts w:ascii="Times New Roman" w:eastAsia="Times New Roman" w:hAnsi="Times New Roman" w:cs="Times New Roman"/>
          <w:lang w:eastAsia="it-IT"/>
        </w:rPr>
        <w:t xml:space="preserve"> Ore 3: Gestione delle trattative II parte; Ore 2: Laboratorio sui casi e apprendimento delle tecniche);</w:t>
      </w:r>
    </w:p>
    <w:p w14:paraId="7BAAF5D3" w14:textId="68A5961D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Nozioni sul quadro regolamentare delle esposizioni bancarie - Ore 4;</w:t>
      </w:r>
    </w:p>
    <w:p w14:paraId="4E854375" w14:textId="77777777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Nozioni in materia di rapporti di lavoro e di consultazioni delle parti sociali - Ore 4;</w:t>
      </w:r>
    </w:p>
    <w:p w14:paraId="70EF95EB" w14:textId="77777777" w:rsidR="00E50BA4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La stima della liquidazione del patrimonio - Ore 4;</w:t>
      </w:r>
    </w:p>
    <w:p w14:paraId="688789F5" w14:textId="77401842" w:rsidR="009542F5" w:rsidRPr="00973795" w:rsidRDefault="00E50BA4" w:rsidP="00973795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973795">
        <w:rPr>
          <w:rFonts w:ascii="Times New Roman" w:eastAsia="Times New Roman" w:hAnsi="Times New Roman" w:cs="Times New Roman"/>
          <w:lang w:eastAsia="it-IT"/>
        </w:rPr>
        <w:t>L’esito dell’intervento dell’esperto e il contenuto della relazione finale: le soluzioni dell’articolo 11 - Ore 5.</w:t>
      </w:r>
    </w:p>
    <w:p w14:paraId="551E64F7" w14:textId="58ABAA39" w:rsidR="002A7DC2" w:rsidRDefault="009542F5" w:rsidP="002A7DC2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H3 </w:t>
      </w:r>
      <w:r w:rsidR="002A7DC2">
        <w:rPr>
          <w:rFonts w:ascii="Times New Roman" w:eastAsia="Times New Roman" w:hAnsi="Times New Roman" w:cs="Times New Roman"/>
          <w:lang w:eastAsia="it-IT"/>
        </w:rPr>
        <w:t>Corsi di e</w:t>
      </w:r>
      <w:r w:rsidR="002A7DC2" w:rsidRPr="002A7DC2">
        <w:rPr>
          <w:rFonts w:ascii="Times New Roman" w:eastAsia="Times New Roman" w:hAnsi="Times New Roman" w:cs="Times New Roman"/>
          <w:lang w:eastAsia="it-IT"/>
        </w:rPr>
        <w:t>nti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2A7DC2" w:rsidRPr="002A7DC2">
        <w:rPr>
          <w:rFonts w:ascii="Times New Roman" w:eastAsia="Times New Roman" w:hAnsi="Times New Roman" w:cs="Times New Roman"/>
          <w:lang w:eastAsia="it-IT"/>
        </w:rPr>
        <w:t>formatori non riconosciuti</w:t>
      </w:r>
      <w:r w:rsidR="002A7DC2">
        <w:rPr>
          <w:rFonts w:ascii="Times New Roman" w:eastAsia="Times New Roman" w:hAnsi="Times New Roman" w:cs="Times New Roman"/>
          <w:lang w:eastAsia="it-IT"/>
        </w:rPr>
        <w:t xml:space="preserve"> dal </w:t>
      </w:r>
      <w:proofErr w:type="spellStart"/>
      <w:r w:rsidR="002A7DC2">
        <w:rPr>
          <w:rFonts w:ascii="Times New Roman" w:eastAsia="Times New Roman" w:hAnsi="Times New Roman" w:cs="Times New Roman"/>
          <w:lang w:eastAsia="it-IT"/>
        </w:rPr>
        <w:t>Cndcec</w:t>
      </w:r>
      <w:proofErr w:type="spellEnd"/>
    </w:p>
    <w:p w14:paraId="12CB7A4D" w14:textId="77777777" w:rsidR="002A7DC2" w:rsidRDefault="002A7DC2" w:rsidP="002A7DC2">
      <w:pPr>
        <w:rPr>
          <w:rFonts w:ascii="Times New Roman" w:eastAsia="Times New Roman" w:hAnsi="Times New Roman" w:cs="Times New Roman"/>
          <w:lang w:eastAsia="it-IT"/>
        </w:rPr>
      </w:pPr>
    </w:p>
    <w:p w14:paraId="7711A739" w14:textId="20C30EAC" w:rsidR="009542F5" w:rsidRDefault="002A7DC2" w:rsidP="002A7DC2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</w:t>
      </w:r>
      <w:r w:rsidRPr="002A7DC2">
        <w:rPr>
          <w:rFonts w:ascii="Times New Roman" w:eastAsia="Times New Roman" w:hAnsi="Times New Roman" w:cs="Times New Roman"/>
          <w:lang w:eastAsia="it-IT"/>
        </w:rPr>
        <w:t>’obbligo formativo può essere assolto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attraverso la partecipazione a </w:t>
      </w:r>
      <w:r w:rsidRPr="00ED253D">
        <w:rPr>
          <w:rFonts w:ascii="Times New Roman" w:eastAsia="Times New Roman" w:hAnsi="Times New Roman" w:cs="Times New Roman"/>
          <w:b/>
          <w:bCs/>
          <w:lang w:eastAsia="it-IT"/>
        </w:rPr>
        <w:t>qualunque corso di formazione che risulti conforme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 alla IV Sezione del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>decreto dirigenziale del Ministero della Giustizia del 28 settembre 2021, organizzato da enti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formatori riconosciuti dal Consiglio Nazionale </w:t>
      </w:r>
      <w:r w:rsidR="00E50BA4">
        <w:rPr>
          <w:rFonts w:ascii="Times New Roman" w:eastAsia="Times New Roman" w:hAnsi="Times New Roman" w:cs="Times New Roman"/>
          <w:lang w:eastAsia="it-IT"/>
        </w:rPr>
        <w:t xml:space="preserve">oppure non riconosciuti </w:t>
      </w:r>
      <w:r w:rsidRPr="002A7DC2">
        <w:rPr>
          <w:rFonts w:ascii="Times New Roman" w:eastAsia="Times New Roman" w:hAnsi="Times New Roman" w:cs="Times New Roman"/>
          <w:lang w:eastAsia="it-IT"/>
        </w:rPr>
        <w:t>e conseguentemente non accreditat</w:t>
      </w:r>
      <w:r w:rsidR="00E50BA4">
        <w:rPr>
          <w:rFonts w:ascii="Times New Roman" w:eastAsia="Times New Roman" w:hAnsi="Times New Roman" w:cs="Times New Roman"/>
          <w:lang w:eastAsia="it-IT"/>
        </w:rPr>
        <w:t>i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 dallo stesso.</w:t>
      </w:r>
    </w:p>
    <w:p w14:paraId="408995B4" w14:textId="77777777" w:rsidR="009542F5" w:rsidRDefault="009542F5" w:rsidP="002A7DC2">
      <w:pPr>
        <w:rPr>
          <w:rFonts w:ascii="Times New Roman" w:eastAsia="Times New Roman" w:hAnsi="Times New Roman" w:cs="Times New Roman"/>
          <w:lang w:eastAsia="it-IT"/>
        </w:rPr>
      </w:pPr>
    </w:p>
    <w:p w14:paraId="4E02B4CB" w14:textId="3D100594" w:rsidR="009542F5" w:rsidRDefault="002A7DC2" w:rsidP="002A7DC2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Nel caso,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 l’Ordine</w:t>
      </w:r>
      <w:r w:rsidR="006933F2">
        <w:rPr>
          <w:rFonts w:ascii="Times New Roman" w:eastAsia="Times New Roman" w:hAnsi="Times New Roman" w:cs="Times New Roman"/>
          <w:lang w:eastAsia="it-IT"/>
        </w:rPr>
        <w:t>,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 in sede di valutazione della domanda di iscrizione</w:t>
      </w:r>
      <w:r w:rsidR="006933F2">
        <w:rPr>
          <w:rFonts w:ascii="Times New Roman" w:eastAsia="Times New Roman" w:hAnsi="Times New Roman" w:cs="Times New Roman"/>
          <w:lang w:eastAsia="it-IT"/>
        </w:rPr>
        <w:t>,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 dovrà verificare la conformità del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 xml:space="preserve">corso. </w:t>
      </w:r>
    </w:p>
    <w:p w14:paraId="6FF1BE9C" w14:textId="77777777" w:rsidR="009542F5" w:rsidRDefault="009542F5" w:rsidP="002A7DC2">
      <w:pPr>
        <w:rPr>
          <w:rFonts w:ascii="Times New Roman" w:eastAsia="Times New Roman" w:hAnsi="Times New Roman" w:cs="Times New Roman"/>
          <w:lang w:eastAsia="it-IT"/>
        </w:rPr>
      </w:pPr>
    </w:p>
    <w:p w14:paraId="384D5348" w14:textId="58DEA1CB" w:rsidR="002A7DC2" w:rsidRDefault="002A7DC2" w:rsidP="002A7DC2">
      <w:pPr>
        <w:rPr>
          <w:rFonts w:ascii="Times New Roman" w:eastAsia="Times New Roman" w:hAnsi="Times New Roman" w:cs="Times New Roman"/>
          <w:lang w:eastAsia="it-IT"/>
        </w:rPr>
      </w:pPr>
      <w:r w:rsidRPr="002A7DC2">
        <w:rPr>
          <w:rFonts w:ascii="Times New Roman" w:eastAsia="Times New Roman" w:hAnsi="Times New Roman" w:cs="Times New Roman"/>
          <w:lang w:eastAsia="it-IT"/>
        </w:rPr>
        <w:t>Si ricorda, inoltre, che la frequenza di corsi non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>accreditati dal Consiglio Nazionale, ai fini dell’assolvimento dell’obbligo formativo imposto agli iscritti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>nell’albo, consente solo la maturazione dei crediti per attività particolari previsti dall’art. 16, lettera p) del</w:t>
      </w:r>
      <w:r w:rsidR="009542F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A7DC2">
        <w:rPr>
          <w:rFonts w:ascii="Times New Roman" w:eastAsia="Times New Roman" w:hAnsi="Times New Roman" w:cs="Times New Roman"/>
          <w:lang w:eastAsia="it-IT"/>
        </w:rPr>
        <w:t>regolamento FPC.</w:t>
      </w:r>
    </w:p>
    <w:p w14:paraId="27D7F712" w14:textId="77777777" w:rsidR="00F16116" w:rsidRDefault="00F16116" w:rsidP="00F16116"/>
    <w:p w14:paraId="3B5027DE" w14:textId="356E97A7" w:rsidR="00F16116" w:rsidRPr="00F16116" w:rsidRDefault="00F16116" w:rsidP="00F16116">
      <w:r>
        <w:t>Chiavi</w:t>
      </w:r>
      <w:r>
        <w:t xml:space="preserve">: </w:t>
      </w:r>
      <w:proofErr w:type="spellStart"/>
      <w:r>
        <w:t>Cndcec</w:t>
      </w:r>
      <w:proofErr w:type="spellEnd"/>
      <w:r>
        <w:t xml:space="preserve">; Crisi d’impresa; regolamento elenco esperti; Formazione </w:t>
      </w:r>
    </w:p>
    <w:p w14:paraId="15CDFD5F" w14:textId="1463A65A" w:rsidR="006933F2" w:rsidRPr="006933F2" w:rsidRDefault="006933F2" w:rsidP="006933F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lang w:eastAsia="it-IT"/>
        </w:rPr>
        <w:t>Sitografia</w:t>
      </w:r>
      <w:proofErr w:type="spellEnd"/>
      <w:r w:rsidR="00F16116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6933F2">
        <w:rPr>
          <w:rFonts w:ascii="Times New Roman" w:eastAsia="Times New Roman" w:hAnsi="Times New Roman" w:cs="Times New Roman"/>
          <w:lang w:eastAsia="it-IT"/>
        </w:rPr>
        <w:t>https://press-magazine.it</w:t>
      </w:r>
    </w:p>
    <w:p w14:paraId="2FF2D0DD" w14:textId="4DF190AE" w:rsidR="00DD58E7" w:rsidRDefault="00F16116">
      <w:proofErr w:type="spellStart"/>
      <w:r>
        <w:t>Cndcec</w:t>
      </w:r>
      <w:proofErr w:type="spellEnd"/>
      <w:r>
        <w:t xml:space="preserve"> -</w:t>
      </w:r>
      <w:r>
        <w:t xml:space="preserve"> </w:t>
      </w:r>
      <w:r>
        <w:rPr>
          <w:b/>
          <w:bCs/>
        </w:rPr>
        <w:t>R</w:t>
      </w:r>
      <w:r w:rsidRPr="00192BF3">
        <w:rPr>
          <w:b/>
          <w:bCs/>
        </w:rPr>
        <w:t>egolamento</w:t>
      </w:r>
      <w:r>
        <w:t xml:space="preserve"> </w:t>
      </w:r>
      <w:r w:rsidRPr="00DC134B">
        <w:rPr>
          <w:rFonts w:ascii="Times New Roman" w:eastAsia="Times New Roman" w:hAnsi="Times New Roman" w:cs="Times New Roman"/>
          <w:lang w:eastAsia="it-IT"/>
        </w:rPr>
        <w:t>per la formazione dell’</w:t>
      </w:r>
      <w:r w:rsidRPr="00DC134B">
        <w:rPr>
          <w:rFonts w:ascii="Times New Roman" w:eastAsia="Times New Roman" w:hAnsi="Times New Roman" w:cs="Times New Roman"/>
          <w:b/>
          <w:bCs/>
          <w:lang w:eastAsia="it-IT"/>
        </w:rPr>
        <w:t xml:space="preserve">Elenco di esperti </w:t>
      </w:r>
      <w:r w:rsidRPr="00DC134B">
        <w:rPr>
          <w:rFonts w:ascii="Times New Roman" w:eastAsia="Times New Roman" w:hAnsi="Times New Roman" w:cs="Times New Roman"/>
          <w:lang w:eastAsia="it-IT"/>
        </w:rPr>
        <w:t xml:space="preserve">sulle misure urgenti in materia di </w:t>
      </w:r>
      <w:r w:rsidRPr="00DC134B">
        <w:rPr>
          <w:rFonts w:ascii="Times New Roman" w:eastAsia="Times New Roman" w:hAnsi="Times New Roman" w:cs="Times New Roman"/>
          <w:b/>
          <w:bCs/>
          <w:lang w:eastAsia="it-IT"/>
        </w:rPr>
        <w:t>crisi d’impresa</w:t>
      </w:r>
      <w:r w:rsidRPr="00DC134B">
        <w:rPr>
          <w:rFonts w:ascii="Times New Roman" w:eastAsia="Times New Roman" w:hAnsi="Times New Roman" w:cs="Times New Roman"/>
          <w:lang w:eastAsia="it-IT"/>
        </w:rPr>
        <w:t>, risanamento aziendale e giustizia</w:t>
      </w:r>
      <w:r>
        <w:rPr>
          <w:rFonts w:ascii="Times New Roman" w:eastAsia="Times New Roman" w:hAnsi="Times New Roman" w:cs="Times New Roman"/>
          <w:lang w:eastAsia="it-IT"/>
        </w:rPr>
        <w:t xml:space="preserve"> - 27 ottobre 2021</w:t>
      </w:r>
    </w:p>
    <w:sectPr w:rsidR="00DD58E7" w:rsidSect="009668A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4A68"/>
    <w:multiLevelType w:val="hybridMultilevel"/>
    <w:tmpl w:val="95882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501F"/>
    <w:multiLevelType w:val="hybridMultilevel"/>
    <w:tmpl w:val="1B5AA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B4F4F"/>
    <w:multiLevelType w:val="hybridMultilevel"/>
    <w:tmpl w:val="7D36F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749A8"/>
    <w:multiLevelType w:val="hybridMultilevel"/>
    <w:tmpl w:val="0DEA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F44C5"/>
    <w:multiLevelType w:val="hybridMultilevel"/>
    <w:tmpl w:val="0E728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D"/>
    <w:rsid w:val="00005931"/>
    <w:rsid w:val="00044713"/>
    <w:rsid w:val="000A55FD"/>
    <w:rsid w:val="00192BF3"/>
    <w:rsid w:val="00283B97"/>
    <w:rsid w:val="002A7236"/>
    <w:rsid w:val="002A7DC2"/>
    <w:rsid w:val="002D460D"/>
    <w:rsid w:val="00644CD5"/>
    <w:rsid w:val="006816D6"/>
    <w:rsid w:val="006933F2"/>
    <w:rsid w:val="006F6E5B"/>
    <w:rsid w:val="00783AA7"/>
    <w:rsid w:val="009542F5"/>
    <w:rsid w:val="009668AA"/>
    <w:rsid w:val="00973795"/>
    <w:rsid w:val="009D3FB3"/>
    <w:rsid w:val="009D53F3"/>
    <w:rsid w:val="00B42BBA"/>
    <w:rsid w:val="00C873D7"/>
    <w:rsid w:val="00D07406"/>
    <w:rsid w:val="00DC134B"/>
    <w:rsid w:val="00DD58E7"/>
    <w:rsid w:val="00E50BA4"/>
    <w:rsid w:val="00EB18F4"/>
    <w:rsid w:val="00ED253D"/>
    <w:rsid w:val="00F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F75"/>
  <w15:chartTrackingRefBased/>
  <w15:docId w15:val="{897F7172-9F7A-FD4E-B225-35942520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46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13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46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D460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D46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DC134B"/>
    <w:rPr>
      <w:b/>
      <w:bCs/>
    </w:rPr>
  </w:style>
  <w:style w:type="paragraph" w:styleId="Paragrafoelenco">
    <w:name w:val="List Paragraph"/>
    <w:basedOn w:val="Normale"/>
    <w:uiPriority w:val="34"/>
    <w:qFormat/>
    <w:rsid w:val="0004471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93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 lupoi</dc:creator>
  <cp:keywords/>
  <dc:description/>
  <cp:lastModifiedBy>gioia lupoi</cp:lastModifiedBy>
  <cp:revision>26</cp:revision>
  <dcterms:created xsi:type="dcterms:W3CDTF">2021-11-09T10:50:00Z</dcterms:created>
  <dcterms:modified xsi:type="dcterms:W3CDTF">2021-11-09T12:20:00Z</dcterms:modified>
</cp:coreProperties>
</file>